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EA8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35F89061">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第一章 招标须知</w:t>
      </w:r>
    </w:p>
    <w:p w14:paraId="7D913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11991C1F">
      <w:pPr>
        <w:keepNext w:val="0"/>
        <w:keepLines w:val="0"/>
        <w:pageBreakBefore w:val="0"/>
        <w:widowControl/>
        <w:wordWrap/>
        <w:overflowPunct/>
        <w:topLinePunct w:val="0"/>
        <w:bidi w:val="0"/>
        <w:spacing w:line="52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为江油蜀游酒店管理有限公司旗下漫波雅院酒店提供餐饮出品服务、厨房日常运营管理、厨房卫生清洁、食材验收等服务</w:t>
      </w:r>
      <w:r>
        <w:rPr>
          <w:rFonts w:hint="eastAsia" w:ascii="仿宋" w:hAnsi="仿宋" w:eastAsia="仿宋" w:cs="仿宋"/>
          <w:b w:val="0"/>
          <w:bCs w:val="0"/>
          <w:sz w:val="32"/>
          <w:szCs w:val="32"/>
          <w:u w:val="none" w:color="auto"/>
          <w:lang w:eastAsia="zh-CN"/>
        </w:rPr>
        <w:t>。</w:t>
      </w:r>
    </w:p>
    <w:p w14:paraId="2A5BB74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61D468D">
      <w:pPr>
        <w:pStyle w:val="6"/>
        <w:keepNext w:val="0"/>
        <w:keepLines w:val="0"/>
        <w:pageBreakBefore w:val="0"/>
        <w:widowControl w:val="0"/>
        <w:numPr>
          <w:ilvl w:val="0"/>
          <w:numId w:val="0"/>
        </w:numPr>
        <w:kinsoku/>
        <w:wordWrap/>
        <w:overflowPunct/>
        <w:topLinePunct w:val="0"/>
        <w:autoSpaceDE/>
        <w:autoSpaceDN/>
        <w:bidi w:val="0"/>
        <w:spacing w:after="0" w:line="576" w:lineRule="exact"/>
        <w:ind w:left="0" w:leftChars="0" w:firstLine="640" w:firstLineChars="200"/>
        <w:textAlignment w:val="auto"/>
        <w:rPr>
          <w:rFonts w:hint="eastAsia" w:hAnsi="仿宋_GB2312" w:cs="仿宋_GB2312"/>
          <w:b w:val="0"/>
          <w:bCs w:val="0"/>
          <w:color w:val="auto"/>
          <w:kern w:val="2"/>
          <w:sz w:val="32"/>
          <w:szCs w:val="32"/>
          <w:lang w:val="en-US" w:eastAsia="zh-CN" w:bidi="ar-SA"/>
        </w:rPr>
      </w:pPr>
      <w:r>
        <w:rPr>
          <w:rFonts w:hint="eastAsia" w:hAnsi="仿宋_GB2312" w:cs="仿宋_GB2312"/>
          <w:color w:val="auto"/>
          <w:kern w:val="2"/>
          <w:sz w:val="32"/>
          <w:szCs w:val="32"/>
          <w:lang w:val="en-US" w:eastAsia="zh-CN" w:bidi="ar-SA"/>
        </w:rPr>
        <w:t>1.服务</w:t>
      </w:r>
      <w:r>
        <w:rPr>
          <w:rFonts w:hint="eastAsia" w:ascii="仿宋_GB2312" w:hAnsi="仿宋_GB2312" w:eastAsia="仿宋_GB2312" w:cs="仿宋_GB2312"/>
          <w:color w:val="auto"/>
          <w:kern w:val="2"/>
          <w:sz w:val="32"/>
          <w:szCs w:val="32"/>
          <w:lang w:val="en-US" w:eastAsia="zh-CN" w:bidi="ar-SA"/>
        </w:rPr>
        <w:t>范围：</w:t>
      </w:r>
      <w:r>
        <w:rPr>
          <w:rFonts w:hint="eastAsia" w:hAnsi="仿宋_GB2312" w:cs="仿宋_GB2312"/>
          <w:b w:val="0"/>
          <w:bCs w:val="0"/>
          <w:color w:val="auto"/>
          <w:kern w:val="2"/>
          <w:sz w:val="32"/>
          <w:szCs w:val="32"/>
          <w:lang w:val="en-US" w:eastAsia="zh-CN" w:bidi="ar-SA"/>
        </w:rPr>
        <w:t>酒店厨师团队核心是全场景餐饮制作、后厨管理、品质保障</w:t>
      </w:r>
      <w:r>
        <w:rPr>
          <w:rFonts w:hint="eastAsia" w:ascii="仿宋_GB2312" w:hAnsi="仿宋_GB2312" w:eastAsia="仿宋_GB2312" w:cs="仿宋_GB2312"/>
          <w:color w:val="auto"/>
          <w:kern w:val="2"/>
          <w:sz w:val="32"/>
          <w:szCs w:val="32"/>
          <w:lang w:val="en-US" w:eastAsia="zh-CN" w:bidi="ar-SA"/>
        </w:rPr>
        <w:t>。主要服务分为</w:t>
      </w:r>
      <w:r>
        <w:rPr>
          <w:rFonts w:hint="eastAsia" w:hAnsi="仿宋_GB2312" w:cs="仿宋_GB2312"/>
          <w:b w:val="0"/>
          <w:bCs w:val="0"/>
          <w:color w:val="auto"/>
          <w:kern w:val="2"/>
          <w:sz w:val="32"/>
          <w:szCs w:val="32"/>
          <w:lang w:val="en-US" w:eastAsia="zh-CN" w:bidi="ar-SA"/>
        </w:rPr>
        <w:t>餐饮出品服务、厨房日常运营管理、厨房卫生清洁、食材验收等。</w:t>
      </w:r>
    </w:p>
    <w:p w14:paraId="3872F33B">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2.服务期限：3年（2025年12月至2028年12月）；</w:t>
      </w:r>
    </w:p>
    <w:p w14:paraId="4B2CFD2E">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3.费用预算：一年30万元。另外，婚寿宴基本桌数3桌，超出3桌每桌按1%提成（3桌内含3桌不计提成）。</w:t>
      </w:r>
    </w:p>
    <w:p w14:paraId="02B2FEA7">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4.人员配置要求：常态化人员配置不低于3人（含厨师1人，凉菜师1人，洗碗工1人）；</w:t>
      </w:r>
    </w:p>
    <w:p w14:paraId="2CA806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73A3B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、此报价包含人工费、人员保险费、车旅费、人员住宿费、税金等费用；</w:t>
      </w:r>
    </w:p>
    <w:p w14:paraId="3D7DB97B">
      <w:pPr>
        <w:pStyle w:val="6"/>
        <w:keepNext w:val="0"/>
        <w:keepLines w:val="0"/>
        <w:pageBreakBefore w:val="0"/>
        <w:wordWrap/>
        <w:overflowPunct/>
        <w:topLinePunct w:val="0"/>
        <w:bidi w:val="0"/>
        <w:spacing w:line="520" w:lineRule="exact"/>
        <w:ind w:left="0" w:lef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2FD662BA">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1948CAF1">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0D3ADB99">
      <w:pP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36B0D748">
      <w:pPr>
        <w:pStyle w:val="2"/>
        <w:rPr>
          <w:rFonts w:hint="eastAsia"/>
          <w:lang w:val="en-US" w:eastAsia="zh-CN"/>
        </w:rPr>
      </w:pPr>
    </w:p>
    <w:p w14:paraId="19411D9E">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1D8560FB">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D39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5B483343">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4659FC">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5D02667">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DEE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4F83077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26F451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center"/>
          </w:tcPr>
          <w:p w14:paraId="27A98FEA">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default" w:ascii="宋体" w:hAnsi="宋体" w:eastAsia="宋体" w:cs="宋体"/>
                <w:sz w:val="28"/>
                <w:szCs w:val="28"/>
                <w:u w:val="none" w:color="auto"/>
                <w:lang w:val="en-US" w:eastAsia="zh-CN"/>
              </w:rPr>
              <w:t>江油蜀游酒店管理有限公司</w:t>
            </w:r>
          </w:p>
        </w:tc>
      </w:tr>
      <w:tr w14:paraId="4944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016F11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58D8C5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center"/>
          </w:tcPr>
          <w:p w14:paraId="0BCECA7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江油市青莲镇漫波雅院酒店</w:t>
            </w:r>
          </w:p>
        </w:tc>
      </w:tr>
      <w:tr w14:paraId="54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5507F9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5873E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center"/>
          </w:tcPr>
          <w:p w14:paraId="3138031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0ED4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4D2E2AF0">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589FFEE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结算方式</w:t>
            </w:r>
          </w:p>
        </w:tc>
        <w:tc>
          <w:tcPr>
            <w:tcW w:w="5807" w:type="dxa"/>
            <w:noWrap w:val="0"/>
            <w:vAlign w:val="center"/>
          </w:tcPr>
          <w:p w14:paraId="72B2B229">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按月支付，每月15日前支付上月费用</w:t>
            </w:r>
          </w:p>
        </w:tc>
      </w:tr>
      <w:tr w14:paraId="1E4E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14:paraId="61D9530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center"/>
          </w:tcPr>
          <w:p w14:paraId="58A47BC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厨师资质</w:t>
            </w:r>
            <w:r>
              <w:rPr>
                <w:rFonts w:hint="eastAsia" w:ascii="宋体" w:hAnsi="宋体" w:eastAsia="宋体" w:cs="宋体"/>
                <w:sz w:val="28"/>
                <w:szCs w:val="28"/>
                <w:u w:val="none" w:color="auto"/>
              </w:rPr>
              <w:t>要求</w:t>
            </w:r>
          </w:p>
        </w:tc>
        <w:tc>
          <w:tcPr>
            <w:tcW w:w="5807" w:type="dxa"/>
            <w:noWrap w:val="0"/>
            <w:vAlign w:val="center"/>
          </w:tcPr>
          <w:p w14:paraId="0746E75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国家高级厨师</w:t>
            </w:r>
            <w:bookmarkStart w:id="2" w:name="_GoBack"/>
            <w:bookmarkEnd w:id="2"/>
            <w:r>
              <w:rPr>
                <w:rFonts w:hint="eastAsia" w:ascii="宋体" w:hAnsi="宋体" w:eastAsia="宋体" w:cs="宋体"/>
                <w:sz w:val="28"/>
                <w:szCs w:val="28"/>
                <w:u w:val="none" w:color="auto"/>
                <w:lang w:val="en-US" w:eastAsia="zh-CN"/>
              </w:rPr>
              <w:t>专业技能证书</w:t>
            </w:r>
          </w:p>
        </w:tc>
      </w:tr>
      <w:tr w14:paraId="4C15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center"/>
          </w:tcPr>
          <w:p w14:paraId="3D7DEAA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center"/>
          </w:tcPr>
          <w:p w14:paraId="3A33916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其他</w:t>
            </w:r>
          </w:p>
        </w:tc>
        <w:tc>
          <w:tcPr>
            <w:tcW w:w="5807" w:type="dxa"/>
            <w:noWrap w:val="0"/>
            <w:vAlign w:val="center"/>
          </w:tcPr>
          <w:p w14:paraId="455B6AC3">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服务期限为三年，合同一年一签，甲方根据乙方上一年度服务水准及顾客反馈意见决定是否与乙方续签下一年度合同</w:t>
            </w:r>
          </w:p>
        </w:tc>
      </w:tr>
      <w:tr w14:paraId="0214C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center"/>
          </w:tcPr>
          <w:p w14:paraId="729F012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bookmarkStart w:id="0" w:name="_Toc23407"/>
            <w:bookmarkStart w:id="1" w:name="_Toc7670"/>
            <w:r>
              <w:rPr>
                <w:rFonts w:hint="eastAsia" w:ascii="宋体" w:hAnsi="宋体" w:eastAsia="宋体" w:cs="宋体"/>
                <w:sz w:val="28"/>
                <w:szCs w:val="28"/>
                <w:u w:val="none" w:color="auto"/>
                <w:lang w:val="en-US" w:eastAsia="zh-CN"/>
              </w:rPr>
              <w:t>7</w:t>
            </w:r>
          </w:p>
        </w:tc>
        <w:tc>
          <w:tcPr>
            <w:tcW w:w="2751" w:type="dxa"/>
            <w:noWrap w:val="0"/>
            <w:vAlign w:val="center"/>
          </w:tcPr>
          <w:p w14:paraId="59DD464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客人满意度</w:t>
            </w:r>
          </w:p>
        </w:tc>
        <w:tc>
          <w:tcPr>
            <w:tcW w:w="5807" w:type="dxa"/>
            <w:noWrap w:val="0"/>
            <w:vAlign w:val="center"/>
          </w:tcPr>
          <w:p w14:paraId="6DD1C9BB">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乙方应保证甲方所接待的客人对菜品质量的满意率每月不得低于 90%</w:t>
            </w:r>
          </w:p>
        </w:tc>
      </w:tr>
      <w:tr w14:paraId="58CD5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center"/>
          </w:tcPr>
          <w:p w14:paraId="1A33833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8</w:t>
            </w:r>
          </w:p>
        </w:tc>
        <w:tc>
          <w:tcPr>
            <w:tcW w:w="2751" w:type="dxa"/>
            <w:noWrap w:val="0"/>
            <w:vAlign w:val="center"/>
          </w:tcPr>
          <w:p w14:paraId="1ABE660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菜品考核</w:t>
            </w:r>
          </w:p>
        </w:tc>
        <w:tc>
          <w:tcPr>
            <w:tcW w:w="5807" w:type="dxa"/>
            <w:noWrap w:val="0"/>
            <w:vAlign w:val="center"/>
          </w:tcPr>
          <w:p w14:paraId="19F5756F">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乙方应合理调配菜单，确保每周内的菜品重复率低于 30%。菜品安排中,合理利用库内生鲜食材，将食材损耗率控制在5%以内</w:t>
            </w:r>
          </w:p>
        </w:tc>
      </w:tr>
    </w:tbl>
    <w:p w14:paraId="4A07A0AE">
      <w:pPr>
        <w:spacing w:line="574" w:lineRule="exact"/>
        <w:jc w:val="center"/>
        <w:outlineLvl w:val="0"/>
        <w:rPr>
          <w:rFonts w:hint="eastAsia" w:ascii="黑体" w:hAnsi="黑体" w:eastAsia="黑体" w:cs="黑体"/>
          <w:sz w:val="32"/>
          <w:szCs w:val="32"/>
          <w:lang w:val="en-US" w:eastAsia="zh-CN"/>
        </w:rPr>
      </w:pPr>
    </w:p>
    <w:p w14:paraId="7D89FA07">
      <w:pPr>
        <w:spacing w:line="574" w:lineRule="exact"/>
        <w:jc w:val="center"/>
        <w:outlineLvl w:val="0"/>
        <w:rPr>
          <w:rFonts w:hint="eastAsia" w:ascii="黑体" w:hAnsi="黑体" w:eastAsia="黑体" w:cs="黑体"/>
          <w:sz w:val="32"/>
          <w:szCs w:val="32"/>
          <w:lang w:val="en-US" w:eastAsia="zh-CN"/>
        </w:rPr>
      </w:pPr>
    </w:p>
    <w:p w14:paraId="324E5CB2">
      <w:pPr>
        <w:spacing w:line="574" w:lineRule="exact"/>
        <w:jc w:val="center"/>
        <w:outlineLvl w:val="0"/>
        <w:rPr>
          <w:rFonts w:hint="eastAsia" w:ascii="黑体" w:hAnsi="黑体" w:eastAsia="黑体" w:cs="黑体"/>
          <w:sz w:val="32"/>
          <w:szCs w:val="32"/>
          <w:lang w:val="en-US" w:eastAsia="zh-CN"/>
        </w:rPr>
      </w:pPr>
    </w:p>
    <w:p w14:paraId="0FBCCC18">
      <w:pPr>
        <w:spacing w:line="574" w:lineRule="exact"/>
        <w:jc w:val="center"/>
        <w:outlineLvl w:val="0"/>
        <w:rPr>
          <w:rFonts w:hint="eastAsia" w:ascii="黑体" w:hAnsi="黑体" w:eastAsia="黑体" w:cs="黑体"/>
          <w:sz w:val="32"/>
          <w:szCs w:val="32"/>
          <w:lang w:val="en-US" w:eastAsia="zh-CN"/>
        </w:rPr>
      </w:pPr>
    </w:p>
    <w:p w14:paraId="6CCB5EB6">
      <w:pPr>
        <w:spacing w:line="574" w:lineRule="exact"/>
        <w:jc w:val="center"/>
        <w:outlineLvl w:val="0"/>
        <w:rPr>
          <w:rFonts w:hint="eastAsia" w:ascii="黑体" w:hAnsi="黑体" w:eastAsia="黑体" w:cs="黑体"/>
          <w:sz w:val="32"/>
          <w:szCs w:val="32"/>
          <w:lang w:val="en-US" w:eastAsia="zh-CN"/>
        </w:rPr>
      </w:pPr>
    </w:p>
    <w:p w14:paraId="36E6A5E6">
      <w:pPr>
        <w:spacing w:line="574" w:lineRule="exact"/>
        <w:jc w:val="center"/>
        <w:outlineLvl w:val="0"/>
        <w:rPr>
          <w:rFonts w:hint="eastAsia" w:ascii="黑体" w:hAnsi="黑体" w:eastAsia="黑体" w:cs="黑体"/>
          <w:sz w:val="32"/>
          <w:szCs w:val="32"/>
          <w:lang w:val="en-US" w:eastAsia="zh-CN"/>
        </w:rPr>
      </w:pPr>
    </w:p>
    <w:p w14:paraId="76E2037D">
      <w:pPr>
        <w:spacing w:line="574" w:lineRule="exact"/>
        <w:jc w:val="center"/>
        <w:outlineLvl w:val="0"/>
        <w:rPr>
          <w:rFonts w:hint="eastAsia" w:ascii="黑体" w:hAnsi="黑体" w:eastAsia="黑体" w:cs="黑体"/>
          <w:sz w:val="32"/>
          <w:szCs w:val="32"/>
          <w:lang w:val="en-US" w:eastAsia="zh-CN"/>
        </w:rPr>
      </w:pPr>
    </w:p>
    <w:p w14:paraId="23567832">
      <w:pPr>
        <w:spacing w:line="574" w:lineRule="exact"/>
        <w:jc w:val="both"/>
        <w:outlineLvl w:val="0"/>
        <w:rPr>
          <w:rFonts w:hint="eastAsia" w:ascii="黑体" w:hAnsi="黑体" w:eastAsia="黑体" w:cs="黑体"/>
          <w:sz w:val="32"/>
          <w:szCs w:val="32"/>
          <w:lang w:val="en-US" w:eastAsia="zh-CN"/>
        </w:rPr>
      </w:pPr>
    </w:p>
    <w:p w14:paraId="1C7F314E">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color w:val="auto"/>
          <w:sz w:val="44"/>
          <w:szCs w:val="44"/>
          <w:u w:val="none" w:color="auto"/>
          <w:lang w:val="en-US" w:eastAsia="zh-CN"/>
        </w:rPr>
      </w:pPr>
      <w:r>
        <w:rPr>
          <w:rFonts w:hint="eastAsia" w:ascii="仿宋" w:hAnsi="仿宋" w:eastAsia="仿宋" w:cs="仿宋"/>
          <w:b w:val="0"/>
          <w:bCs w:val="0"/>
          <w:color w:val="auto"/>
          <w:sz w:val="44"/>
          <w:szCs w:val="44"/>
          <w:u w:val="none" w:color="auto"/>
          <w:lang w:val="en-US" w:eastAsia="zh-CN"/>
        </w:rPr>
        <w:t>评标</w:t>
      </w:r>
      <w:bookmarkEnd w:id="0"/>
      <w:bookmarkEnd w:id="1"/>
    </w:p>
    <w:p w14:paraId="68545878">
      <w:pPr>
        <w:pStyle w:val="2"/>
        <w:numPr>
          <w:ilvl w:val="0"/>
          <w:numId w:val="0"/>
        </w:numPr>
        <w:ind w:leftChars="0" w:right="0" w:rightChars="0"/>
        <w:rPr>
          <w:rFonts w:hint="eastAsia"/>
          <w:lang w:val="en-US" w:eastAsia="zh-CN"/>
        </w:rPr>
      </w:pPr>
    </w:p>
    <w:p w14:paraId="09564A4F">
      <w:pPr>
        <w:spacing w:line="574"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一、评标要求 </w:t>
      </w:r>
    </w:p>
    <w:p w14:paraId="37155B6F">
      <w:pPr>
        <w:keepNext w:val="0"/>
        <w:keepLines w:val="0"/>
        <w:widowControl/>
        <w:suppressLineNumbers w:val="0"/>
        <w:ind w:firstLine="442" w:firstLineChars="200"/>
        <w:jc w:val="left"/>
        <w:rPr>
          <w:rFonts w:hint="eastAsia" w:ascii="仿宋" w:hAnsi="仿宋" w:eastAsia="仿宋" w:cs="仿宋"/>
          <w:b/>
          <w:bCs/>
          <w:sz w:val="22"/>
          <w:szCs w:val="22"/>
        </w:rPr>
      </w:pPr>
      <w:r>
        <w:rPr>
          <w:rFonts w:hint="eastAsia" w:ascii="仿宋" w:hAnsi="仿宋" w:eastAsia="仿宋" w:cs="仿宋"/>
          <w:b/>
          <w:bCs/>
          <w:color w:val="000000"/>
          <w:kern w:val="0"/>
          <w:sz w:val="22"/>
          <w:szCs w:val="22"/>
          <w:lang w:val="en-US" w:eastAsia="zh-CN" w:bidi="ar"/>
        </w:rPr>
        <w:t xml:space="preserve">1.评标方法 </w:t>
      </w:r>
    </w:p>
    <w:p w14:paraId="4EB22B26">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综合评分，是指投标文件及现场试菜环节满足采购文件全部实质性要求，且经现场评审平均分值最高的单位为中标候选人的评标方法。（最低报价不是中标的唯一依据） </w:t>
      </w:r>
    </w:p>
    <w:p w14:paraId="0FDD91B4">
      <w:pPr>
        <w:keepNext w:val="0"/>
        <w:keepLines w:val="0"/>
        <w:widowControl/>
        <w:suppressLineNumbers w:val="0"/>
        <w:ind w:firstLine="442" w:firstLineChars="200"/>
        <w:jc w:val="left"/>
        <w:rPr>
          <w:rFonts w:hint="eastAsia" w:ascii="仿宋" w:hAnsi="仿宋" w:eastAsia="仿宋" w:cs="仿宋"/>
          <w:b/>
          <w:bCs/>
          <w:sz w:val="22"/>
          <w:szCs w:val="22"/>
        </w:rPr>
      </w:pPr>
      <w:r>
        <w:rPr>
          <w:rFonts w:hint="eastAsia" w:ascii="仿宋" w:hAnsi="仿宋" w:eastAsia="仿宋" w:cs="仿宋"/>
          <w:b/>
          <w:bCs/>
          <w:color w:val="000000"/>
          <w:kern w:val="0"/>
          <w:sz w:val="22"/>
          <w:szCs w:val="22"/>
          <w:lang w:val="en-US" w:eastAsia="zh-CN" w:bidi="ar"/>
        </w:rPr>
        <w:t xml:space="preserve">2.评标原则 </w:t>
      </w:r>
    </w:p>
    <w:p w14:paraId="14B4EBDF">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2.1评标活动遵循公平、公正、科学和择优的原则，以采购文件和投标文件为评标的基本依据，并按照采购文件规定的评标方法和评标标准进行评标。 </w:t>
      </w:r>
    </w:p>
    <w:p w14:paraId="3E633909">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2.2具体评标事项由评审小组负责，并按采购文件的规定办法进行评审。 </w:t>
      </w:r>
    </w:p>
    <w:p w14:paraId="1155E651">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2.3有效投标人数：</w:t>
      </w:r>
      <w:r>
        <w:rPr>
          <w:rFonts w:hint="eastAsia" w:ascii="仿宋" w:hAnsi="仿宋" w:eastAsia="仿宋" w:cs="仿宋"/>
          <w:b/>
          <w:bCs/>
          <w:color w:val="000000"/>
          <w:kern w:val="0"/>
          <w:sz w:val="22"/>
          <w:szCs w:val="22"/>
          <w:lang w:val="en-US" w:eastAsia="zh-CN" w:bidi="ar"/>
        </w:rPr>
        <w:t>3</w:t>
      </w:r>
      <w:r>
        <w:rPr>
          <w:rFonts w:hint="eastAsia" w:ascii="仿宋" w:hAnsi="仿宋" w:eastAsia="仿宋" w:cs="仿宋"/>
          <w:color w:val="000000"/>
          <w:kern w:val="0"/>
          <w:sz w:val="22"/>
          <w:szCs w:val="22"/>
          <w:lang w:val="en-US" w:eastAsia="zh-CN" w:bidi="ar"/>
        </w:rPr>
        <w:t xml:space="preserve">家及3家以上（此投标人数约定了开标与评标过程中的最低有效投标人数，不足时项目将不得开标、不得评标或直接废标）。 </w:t>
      </w:r>
    </w:p>
    <w:p w14:paraId="4F530206">
      <w:pPr>
        <w:keepNext w:val="0"/>
        <w:keepLines w:val="0"/>
        <w:widowControl/>
        <w:suppressLineNumbers w:val="0"/>
        <w:ind w:firstLine="442" w:firstLineChars="200"/>
        <w:jc w:val="left"/>
        <w:rPr>
          <w:rFonts w:hint="eastAsia" w:ascii="仿宋" w:hAnsi="仿宋" w:eastAsia="仿宋" w:cs="仿宋"/>
          <w:b/>
          <w:bCs/>
          <w:sz w:val="22"/>
          <w:szCs w:val="22"/>
        </w:rPr>
      </w:pPr>
      <w:r>
        <w:rPr>
          <w:rFonts w:hint="eastAsia" w:ascii="仿宋" w:hAnsi="仿宋" w:eastAsia="仿宋" w:cs="仿宋"/>
          <w:b/>
          <w:bCs/>
          <w:color w:val="000000"/>
          <w:kern w:val="0"/>
          <w:sz w:val="22"/>
          <w:szCs w:val="22"/>
          <w:lang w:val="en-US" w:eastAsia="zh-CN" w:bidi="ar"/>
        </w:rPr>
        <w:t xml:space="preserve">3.评审小组 </w:t>
      </w:r>
    </w:p>
    <w:p w14:paraId="06FE6410">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3.1评审小组由采购人代表和评审专家组成，成员人数应当为3人及以上单数。 </w:t>
      </w:r>
    </w:p>
    <w:p w14:paraId="174E03E7">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3.2评标应遵守下列评标纪律： </w:t>
      </w:r>
    </w:p>
    <w:p w14:paraId="3F80B7F1">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（1）评标情况不得私自外泄，有关信息由江油博飞文化旅游开发集团有限公司统一对外发布。 </w:t>
      </w:r>
    </w:p>
    <w:p w14:paraId="1185717B">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（2）对江油博飞文化旅游开发集团有限公司或投标人提供的要求保密的资料，不得摘记翻印和外传。 </w:t>
      </w:r>
    </w:p>
    <w:p w14:paraId="73E035A6">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（3）不得收受投标供应商或有关人员的任何礼物，不得串联鼓动其他人袒护某投标人。若与投标人存在利害关系，则应主动声明并回避。 </w:t>
      </w:r>
    </w:p>
    <w:p w14:paraId="147480EA">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（4）全体评委应按照采购文件规定进行评标，一切认定事项应查有实据且不得弄虚作假。 </w:t>
      </w:r>
    </w:p>
    <w:p w14:paraId="64468F55">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（5）评审小组各成员应当独立对每个投标人的投标文件进行评价，并对评价意见承担个人责任。评审过程中，不得发表倾向性言论。 </w:t>
      </w:r>
    </w:p>
    <w:p w14:paraId="676AB529">
      <w:pPr>
        <w:keepNext w:val="0"/>
        <w:keepLines w:val="0"/>
        <w:widowControl/>
        <w:suppressLineNumbers w:val="0"/>
        <w:ind w:firstLine="442" w:firstLineChars="200"/>
        <w:jc w:val="left"/>
        <w:rPr>
          <w:rFonts w:hint="eastAsia" w:ascii="仿宋" w:hAnsi="仿宋" w:eastAsia="仿宋" w:cs="仿宋"/>
          <w:b/>
          <w:bCs/>
          <w:sz w:val="22"/>
          <w:szCs w:val="22"/>
        </w:rPr>
      </w:pPr>
      <w:r>
        <w:rPr>
          <w:rFonts w:hint="eastAsia" w:ascii="仿宋" w:hAnsi="仿宋" w:eastAsia="仿宋" w:cs="仿宋"/>
          <w:b/>
          <w:bCs/>
          <w:color w:val="000000"/>
          <w:kern w:val="0"/>
          <w:sz w:val="22"/>
          <w:szCs w:val="22"/>
          <w:lang w:val="en-US" w:eastAsia="zh-CN" w:bidi="ar"/>
        </w:rPr>
        <w:t xml:space="preserve">4.有下列情形之一的，视为投标人串通投标，其投标无效； </w:t>
      </w:r>
    </w:p>
    <w:p w14:paraId="1A9119A6">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4.1不同投标人的投标文件由同一单位或者个人编制； </w:t>
      </w:r>
    </w:p>
    <w:p w14:paraId="5FF8FFF1">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4.2不同投标人委托同一单位或者个人办理投标事宜； </w:t>
      </w:r>
    </w:p>
    <w:p w14:paraId="2D647F76">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4.3不同投标人的投标文件载明的项目管理成员或者联系人员为同一人； </w:t>
      </w:r>
    </w:p>
    <w:p w14:paraId="71FC288A">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4.4不同投标人的投标文件异常一致或者投标报价呈规律性差异； </w:t>
      </w:r>
    </w:p>
    <w:p w14:paraId="1B95FE44">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4.5不同投标人的投标文件相互混装； </w:t>
      </w:r>
    </w:p>
    <w:p w14:paraId="16C938B9">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4.6不同投标人的投标保证金为从同一单位或个人的账户转出； </w:t>
      </w:r>
    </w:p>
    <w:p w14:paraId="0A1A290D">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说明：在评标过程中发现投标人有上述情形的，评审小组应当认定其投标无效。同时，项目评审时被认定为串通投标的投标人不得参加该合同项下的采购活动。 </w:t>
      </w:r>
    </w:p>
    <w:p w14:paraId="3844B063">
      <w:pPr>
        <w:keepNext w:val="0"/>
        <w:keepLines w:val="0"/>
        <w:widowControl/>
        <w:suppressLineNumbers w:val="0"/>
        <w:ind w:firstLine="442" w:firstLineChars="200"/>
        <w:jc w:val="left"/>
        <w:rPr>
          <w:rFonts w:hint="eastAsia" w:ascii="仿宋" w:hAnsi="仿宋" w:eastAsia="仿宋" w:cs="仿宋"/>
          <w:b/>
          <w:bCs/>
          <w:sz w:val="22"/>
          <w:szCs w:val="22"/>
        </w:rPr>
      </w:pPr>
      <w:r>
        <w:rPr>
          <w:rFonts w:hint="eastAsia" w:ascii="仿宋" w:hAnsi="仿宋" w:eastAsia="仿宋" w:cs="仿宋"/>
          <w:b/>
          <w:bCs/>
          <w:color w:val="000000"/>
          <w:kern w:val="0"/>
          <w:sz w:val="22"/>
          <w:szCs w:val="22"/>
          <w:lang w:val="en-US" w:eastAsia="zh-CN" w:bidi="ar"/>
        </w:rPr>
        <w:t xml:space="preserve">5.投标无效的情形 </w:t>
      </w:r>
    </w:p>
    <w:p w14:paraId="09E4D56F">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详见资格性审查、符合性审查和采购文件其他投标无效条款。 </w:t>
      </w:r>
    </w:p>
    <w:p w14:paraId="38802C9C">
      <w:pPr>
        <w:keepNext w:val="0"/>
        <w:keepLines w:val="0"/>
        <w:widowControl/>
        <w:suppressLineNumbers w:val="0"/>
        <w:ind w:firstLine="442" w:firstLineChars="200"/>
        <w:jc w:val="left"/>
        <w:rPr>
          <w:rFonts w:hint="eastAsia" w:ascii="仿宋" w:hAnsi="仿宋" w:eastAsia="仿宋" w:cs="仿宋"/>
          <w:b/>
          <w:bCs/>
          <w:sz w:val="22"/>
          <w:szCs w:val="22"/>
        </w:rPr>
      </w:pPr>
      <w:r>
        <w:rPr>
          <w:rFonts w:hint="eastAsia" w:ascii="仿宋" w:hAnsi="仿宋" w:eastAsia="仿宋" w:cs="仿宋"/>
          <w:b/>
          <w:bCs/>
          <w:color w:val="000000"/>
          <w:kern w:val="0"/>
          <w:sz w:val="22"/>
          <w:szCs w:val="22"/>
          <w:lang w:val="en-US" w:eastAsia="zh-CN" w:bidi="ar"/>
        </w:rPr>
        <w:t xml:space="preserve">6.定标 </w:t>
      </w:r>
    </w:p>
    <w:p w14:paraId="0FE8415F">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评审小组按照采购文件确定的评标方法、步骤、标准，对投标文件进行评审。评标结束后，对投标人的评审名次进行排序，</w:t>
      </w:r>
      <w:r>
        <w:rPr>
          <w:rFonts w:hint="eastAsia" w:ascii="仿宋" w:hAnsi="仿宋" w:eastAsia="仿宋" w:cs="仿宋"/>
          <w:b/>
          <w:bCs/>
          <w:color w:val="000000"/>
          <w:kern w:val="0"/>
          <w:sz w:val="22"/>
          <w:szCs w:val="22"/>
          <w:lang w:val="en-US" w:eastAsia="zh-CN" w:bidi="ar"/>
        </w:rPr>
        <w:t>排名第一的为中标供应商</w:t>
      </w:r>
      <w:r>
        <w:rPr>
          <w:rFonts w:hint="eastAsia" w:ascii="仿宋" w:hAnsi="仿宋" w:eastAsia="仿宋" w:cs="仿宋"/>
          <w:color w:val="000000"/>
          <w:kern w:val="0"/>
          <w:sz w:val="22"/>
          <w:szCs w:val="22"/>
          <w:lang w:val="en-US" w:eastAsia="zh-CN" w:bidi="ar"/>
        </w:rPr>
        <w:t xml:space="preserve">。 </w:t>
      </w:r>
    </w:p>
    <w:p w14:paraId="26994545">
      <w:pPr>
        <w:spacing w:line="574"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二、评审程序</w:t>
      </w:r>
    </w:p>
    <w:p w14:paraId="5894B6DC">
      <w:pPr>
        <w:keepNext w:val="0"/>
        <w:keepLines w:val="0"/>
        <w:widowControl/>
        <w:suppressLineNumbers w:val="0"/>
        <w:ind w:firstLine="442" w:firstLineChars="200"/>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1.资格性审查和符合性审查</w:t>
      </w:r>
    </w:p>
    <w:p w14:paraId="5FBF91CC">
      <w:pPr>
        <w:keepNext w:val="0"/>
        <w:keepLines w:val="0"/>
        <w:widowControl/>
        <w:suppressLineNumbers w:val="0"/>
        <w:ind w:firstLine="440" w:firstLineChars="200"/>
        <w:jc w:val="left"/>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资格性审查。公开采购项目开标结束后，评审小组依据采购文件的规定对投标人的资格进行审查，以确定投标人是否具备投标资格。（详见后附表一资格性审查表）</w:t>
      </w:r>
    </w:p>
    <w:p w14:paraId="05D95B6D">
      <w:pPr>
        <w:keepNext w:val="0"/>
        <w:keepLines w:val="0"/>
        <w:widowControl/>
        <w:suppressLineNumbers w:val="0"/>
        <w:ind w:firstLine="440" w:firstLineChars="200"/>
        <w:jc w:val="left"/>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资格性审查未通过的投标人按无效投标处理。</w:t>
      </w:r>
    </w:p>
    <w:p w14:paraId="2BD5DF6C">
      <w:pPr>
        <w:keepNext w:val="0"/>
        <w:keepLines w:val="0"/>
        <w:widowControl/>
        <w:suppressLineNumbers w:val="0"/>
        <w:ind w:firstLine="440" w:firstLineChars="200"/>
        <w:jc w:val="left"/>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对各投标人进行资格审查中，对初步被认定为无效投标者，由评审小组组长或采购人代表将集体意见及时告知投标当事人。</w:t>
      </w:r>
    </w:p>
    <w:p w14:paraId="512B0842">
      <w:pPr>
        <w:keepNext w:val="0"/>
        <w:keepLines w:val="0"/>
        <w:widowControl/>
        <w:suppressLineNumbers w:val="0"/>
        <w:ind w:firstLine="440" w:firstLineChars="200"/>
        <w:jc w:val="left"/>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评审小组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审小组应当将其作为无效投标处理。</w:t>
      </w:r>
    </w:p>
    <w:p w14:paraId="1CA318CB">
      <w:pPr>
        <w:keepNext w:val="0"/>
        <w:keepLines w:val="0"/>
        <w:widowControl/>
        <w:suppressLineNumbers w:val="0"/>
        <w:ind w:firstLine="440" w:firstLineChars="200"/>
        <w:jc w:val="left"/>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合格投标人不足3家的，不得评标。</w:t>
      </w:r>
    </w:p>
    <w:p w14:paraId="75C62C00">
      <w:pPr>
        <w:pStyle w:val="2"/>
        <w:numPr>
          <w:ilvl w:val="0"/>
          <w:numId w:val="3"/>
        </w:numPr>
        <w:ind w:firstLine="442" w:firstLineChars="200"/>
        <w:rPr>
          <w:rFonts w:hint="eastAsia" w:ascii="仿宋" w:hAnsi="仿宋" w:eastAsia="仿宋" w:cs="仿宋"/>
          <w:b/>
          <w:bCs/>
          <w:color w:val="000000"/>
          <w:spacing w:val="0"/>
          <w:w w:val="100"/>
          <w:kern w:val="0"/>
          <w:position w:val="0"/>
          <w:sz w:val="22"/>
          <w:szCs w:val="22"/>
          <w:shd w:val="clear" w:color="auto" w:fill="auto"/>
          <w:lang w:val="en-US" w:eastAsia="zh-CN" w:bidi="ar"/>
        </w:rPr>
      </w:pPr>
      <w:r>
        <w:rPr>
          <w:rFonts w:hint="eastAsia" w:ascii="仿宋" w:hAnsi="仿宋" w:eastAsia="仿宋" w:cs="仿宋"/>
          <w:b/>
          <w:bCs/>
          <w:color w:val="000000"/>
          <w:spacing w:val="0"/>
          <w:w w:val="100"/>
          <w:kern w:val="0"/>
          <w:position w:val="0"/>
          <w:sz w:val="22"/>
          <w:szCs w:val="22"/>
          <w:shd w:val="clear" w:color="auto" w:fill="auto"/>
          <w:lang w:val="en-US" w:eastAsia="zh-CN" w:bidi="ar"/>
        </w:rPr>
        <w:t>评审细则及标准</w:t>
      </w:r>
    </w:p>
    <w:tbl>
      <w:tblPr>
        <w:tblStyle w:val="15"/>
        <w:tblW w:w="100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523"/>
        <w:gridCol w:w="510"/>
        <w:gridCol w:w="6345"/>
        <w:gridCol w:w="523"/>
        <w:gridCol w:w="2"/>
        <w:gridCol w:w="1164"/>
      </w:tblGrid>
      <w:tr w14:paraId="7D9C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1525" w:type="dxa"/>
            <w:gridSpan w:val="2"/>
            <w:noWrap w:val="0"/>
            <w:vAlign w:val="top"/>
          </w:tcPr>
          <w:p w14:paraId="2BAFA0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lang w:val="en-US" w:eastAsia="zh-CN"/>
              </w:rPr>
            </w:pPr>
            <w:r>
              <w:rPr>
                <w:rFonts w:hint="eastAsia" w:ascii="宋体" w:hAnsi="宋体" w:eastAsia="宋体" w:cs="宋体"/>
                <w:sz w:val="20"/>
                <w:szCs w:val="20"/>
                <w:highlight w:val="none"/>
                <w:u w:val="none" w:color="auto"/>
                <w:lang w:val="en-US" w:eastAsia="zh-CN"/>
              </w:rPr>
              <w:t>评分因素及权重</w:t>
            </w:r>
          </w:p>
        </w:tc>
        <w:tc>
          <w:tcPr>
            <w:tcW w:w="510" w:type="dxa"/>
            <w:noWrap w:val="0"/>
            <w:vAlign w:val="top"/>
          </w:tcPr>
          <w:p w14:paraId="563FA0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分值</w:t>
            </w:r>
          </w:p>
        </w:tc>
        <w:tc>
          <w:tcPr>
            <w:tcW w:w="6345" w:type="dxa"/>
            <w:noWrap w:val="0"/>
            <w:vAlign w:val="top"/>
          </w:tcPr>
          <w:p w14:paraId="711852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评分标准</w:t>
            </w:r>
          </w:p>
        </w:tc>
        <w:tc>
          <w:tcPr>
            <w:tcW w:w="523" w:type="dxa"/>
            <w:noWrap w:val="0"/>
            <w:vAlign w:val="top"/>
          </w:tcPr>
          <w:p w14:paraId="7D0E0D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备注</w:t>
            </w:r>
          </w:p>
        </w:tc>
        <w:tc>
          <w:tcPr>
            <w:tcW w:w="1166" w:type="dxa"/>
            <w:gridSpan w:val="2"/>
            <w:noWrap w:val="0"/>
            <w:vAlign w:val="top"/>
          </w:tcPr>
          <w:p w14:paraId="4700BD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评审分类</w:t>
            </w:r>
          </w:p>
        </w:tc>
      </w:tr>
      <w:tr w14:paraId="55A9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25" w:type="dxa"/>
            <w:gridSpan w:val="2"/>
            <w:noWrap w:val="0"/>
            <w:vAlign w:val="top"/>
          </w:tcPr>
          <w:p w14:paraId="4347A0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13EA02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报价</w:t>
            </w:r>
            <w:r>
              <w:rPr>
                <w:rFonts w:hint="eastAsia" w:hAnsi="宋体" w:eastAsia="宋体" w:cs="宋体"/>
                <w:sz w:val="20"/>
                <w:szCs w:val="20"/>
                <w:highlight w:val="none"/>
                <w:u w:val="none" w:color="auto"/>
                <w:lang w:val="en-US" w:eastAsia="zh-CN"/>
              </w:rPr>
              <w:t>30%</w:t>
            </w:r>
          </w:p>
        </w:tc>
        <w:tc>
          <w:tcPr>
            <w:tcW w:w="510" w:type="dxa"/>
            <w:noWrap w:val="0"/>
            <w:vAlign w:val="top"/>
          </w:tcPr>
          <w:p w14:paraId="7C4059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6EEA63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0"/>
                <w:szCs w:val="20"/>
                <w:highlight w:val="none"/>
                <w:u w:val="none" w:color="auto"/>
                <w:lang w:val="en-US" w:eastAsia="zh-CN"/>
              </w:rPr>
            </w:pPr>
            <w:r>
              <w:rPr>
                <w:rFonts w:hint="eastAsia" w:hAnsi="宋体" w:eastAsia="宋体" w:cs="宋体"/>
                <w:sz w:val="20"/>
                <w:szCs w:val="20"/>
                <w:highlight w:val="none"/>
                <w:u w:val="none" w:color="auto"/>
                <w:lang w:val="en-US" w:eastAsia="zh-CN"/>
              </w:rPr>
              <w:t>30</w:t>
            </w:r>
          </w:p>
        </w:tc>
        <w:tc>
          <w:tcPr>
            <w:tcW w:w="6345" w:type="dxa"/>
            <w:noWrap w:val="0"/>
            <w:vAlign w:val="top"/>
          </w:tcPr>
          <w:p w14:paraId="351C1B6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满足</w:t>
            </w:r>
            <w:r>
              <w:rPr>
                <w:rFonts w:hint="eastAsia" w:ascii="宋体" w:hAnsi="宋体" w:eastAsia="宋体" w:cs="宋体"/>
                <w:sz w:val="20"/>
                <w:szCs w:val="20"/>
                <w:highlight w:val="none"/>
                <w:u w:val="none" w:color="auto"/>
                <w:lang w:val="en-US" w:eastAsia="zh-CN"/>
              </w:rPr>
              <w:t>采购</w:t>
            </w:r>
            <w:r>
              <w:rPr>
                <w:rFonts w:hint="eastAsia" w:ascii="宋体" w:hAnsi="宋体" w:eastAsia="宋体" w:cs="宋体"/>
                <w:sz w:val="20"/>
                <w:szCs w:val="20"/>
                <w:highlight w:val="none"/>
                <w:u w:val="none" w:color="auto"/>
              </w:rPr>
              <w:t>文件要求且最后报价最低的供应商的价格为</w:t>
            </w:r>
            <w:r>
              <w:rPr>
                <w:rFonts w:hint="eastAsia" w:ascii="宋体" w:hAnsi="宋体" w:eastAsia="宋体" w:cs="宋体"/>
                <w:sz w:val="20"/>
                <w:szCs w:val="20"/>
                <w:highlight w:val="none"/>
                <w:u w:val="none" w:color="auto"/>
                <w:lang w:val="en-US" w:eastAsia="zh-CN"/>
              </w:rPr>
              <w:t>采购</w:t>
            </w:r>
            <w:r>
              <w:rPr>
                <w:rFonts w:hint="eastAsia" w:ascii="宋体" w:hAnsi="宋体" w:eastAsia="宋体" w:cs="宋体"/>
                <w:sz w:val="20"/>
                <w:szCs w:val="20"/>
                <w:highlight w:val="none"/>
                <w:u w:val="none" w:color="auto"/>
              </w:rPr>
              <w:t>基准价，其价格分为满分。其他供应商的价格分统一按公示计算：</w:t>
            </w:r>
            <w:r>
              <w:rPr>
                <w:rFonts w:hint="eastAsia" w:ascii="宋体" w:hAnsi="宋体" w:eastAsia="宋体" w:cs="宋体"/>
                <w:sz w:val="20"/>
                <w:szCs w:val="20"/>
                <w:highlight w:val="none"/>
                <w:u w:val="none" w:color="auto"/>
                <w:lang w:val="en-US" w:eastAsia="zh-CN"/>
              </w:rPr>
              <w:t>采购</w:t>
            </w:r>
            <w:r>
              <w:rPr>
                <w:rFonts w:hint="eastAsia" w:ascii="宋体" w:hAnsi="宋体" w:eastAsia="宋体" w:cs="宋体"/>
                <w:sz w:val="20"/>
                <w:szCs w:val="20"/>
                <w:highlight w:val="none"/>
                <w:u w:val="none" w:color="auto"/>
              </w:rPr>
              <w:t>报价得分=（</w:t>
            </w:r>
            <w:r>
              <w:rPr>
                <w:rFonts w:hint="eastAsia" w:ascii="宋体" w:hAnsi="宋体" w:eastAsia="宋体" w:cs="宋体"/>
                <w:sz w:val="20"/>
                <w:szCs w:val="20"/>
                <w:highlight w:val="none"/>
                <w:u w:val="none" w:color="auto"/>
                <w:lang w:val="en-US" w:eastAsia="zh-CN"/>
              </w:rPr>
              <w:t>采购</w:t>
            </w:r>
            <w:r>
              <w:rPr>
                <w:rFonts w:hint="eastAsia" w:ascii="宋体" w:hAnsi="宋体" w:eastAsia="宋体" w:cs="宋体"/>
                <w:sz w:val="20"/>
                <w:szCs w:val="20"/>
                <w:highlight w:val="none"/>
                <w:u w:val="none" w:color="auto"/>
              </w:rPr>
              <w:t>基准价/最后</w:t>
            </w:r>
            <w:r>
              <w:rPr>
                <w:rFonts w:hint="eastAsia" w:ascii="宋体" w:hAnsi="宋体" w:eastAsia="宋体" w:cs="宋体"/>
                <w:sz w:val="20"/>
                <w:szCs w:val="20"/>
                <w:highlight w:val="none"/>
                <w:u w:val="none" w:color="auto"/>
                <w:lang w:val="en-US" w:eastAsia="zh-CN"/>
              </w:rPr>
              <w:t>采购</w:t>
            </w:r>
            <w:r>
              <w:rPr>
                <w:rFonts w:hint="eastAsia" w:ascii="宋体" w:hAnsi="宋体" w:eastAsia="宋体" w:cs="宋体"/>
                <w:sz w:val="20"/>
                <w:szCs w:val="20"/>
                <w:highlight w:val="none"/>
                <w:u w:val="none" w:color="auto"/>
              </w:rPr>
              <w:t>报价）×</w:t>
            </w:r>
            <w:r>
              <w:rPr>
                <w:rFonts w:hint="eastAsia" w:ascii="宋体" w:hAnsi="宋体" w:eastAsia="宋体" w:cs="宋体"/>
                <w:sz w:val="20"/>
                <w:szCs w:val="20"/>
                <w:highlight w:val="none"/>
                <w:u w:val="none" w:color="auto"/>
                <w:lang w:val="en-US" w:eastAsia="zh-CN"/>
              </w:rPr>
              <w:t>30</w:t>
            </w:r>
            <w:r>
              <w:rPr>
                <w:rFonts w:hint="eastAsia" w:ascii="宋体" w:hAnsi="宋体" w:eastAsia="宋体" w:cs="宋体"/>
                <w:sz w:val="20"/>
                <w:szCs w:val="20"/>
                <w:highlight w:val="none"/>
                <w:u w:val="none" w:color="auto"/>
              </w:rPr>
              <w:t>×100%。（保留两位小数）。</w:t>
            </w:r>
          </w:p>
        </w:tc>
        <w:tc>
          <w:tcPr>
            <w:tcW w:w="523" w:type="dxa"/>
            <w:noWrap w:val="0"/>
            <w:vAlign w:val="top"/>
          </w:tcPr>
          <w:p w14:paraId="57A2FE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tc>
        <w:tc>
          <w:tcPr>
            <w:tcW w:w="1166" w:type="dxa"/>
            <w:gridSpan w:val="2"/>
            <w:noWrap w:val="0"/>
            <w:vAlign w:val="top"/>
          </w:tcPr>
          <w:p w14:paraId="0B80C3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1B104C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共同类</w:t>
            </w:r>
          </w:p>
          <w:p w14:paraId="74CB5B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评审因素</w:t>
            </w:r>
          </w:p>
        </w:tc>
      </w:tr>
      <w:tr w14:paraId="7DE9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jc w:val="center"/>
        </w:trPr>
        <w:tc>
          <w:tcPr>
            <w:tcW w:w="1525" w:type="dxa"/>
            <w:gridSpan w:val="2"/>
            <w:noWrap w:val="0"/>
            <w:vAlign w:val="center"/>
          </w:tcPr>
          <w:p w14:paraId="23B90DE7">
            <w:pPr>
              <w:keepNext w:val="0"/>
              <w:keepLines w:val="0"/>
              <w:pageBreakBefore w:val="0"/>
              <w:widowControl w:val="0"/>
              <w:kinsoku/>
              <w:wordWrap/>
              <w:overflowPunct/>
              <w:topLinePunct w:val="0"/>
              <w:autoSpaceDE/>
              <w:autoSpaceDN/>
              <w:bidi w:val="0"/>
              <w:adjustRightInd/>
              <w:snapToGrid/>
              <w:spacing w:line="520" w:lineRule="exact"/>
              <w:ind w:firstLine="200" w:firstLineChars="100"/>
              <w:jc w:val="both"/>
              <w:textAlignment w:val="auto"/>
              <w:rPr>
                <w:rFonts w:hint="default"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lang w:val="en-US" w:eastAsia="zh-CN"/>
              </w:rPr>
              <w:t>现场试菜</w:t>
            </w:r>
            <w:r>
              <w:rPr>
                <w:rFonts w:hint="eastAsia" w:hAnsi="宋体" w:eastAsia="宋体" w:cs="宋体"/>
                <w:sz w:val="20"/>
                <w:szCs w:val="20"/>
                <w:highlight w:val="none"/>
                <w:u w:val="none" w:color="auto"/>
                <w:lang w:val="en-US" w:eastAsia="zh-CN"/>
              </w:rPr>
              <w:t>50%</w:t>
            </w:r>
          </w:p>
        </w:tc>
        <w:tc>
          <w:tcPr>
            <w:tcW w:w="510" w:type="dxa"/>
            <w:noWrap w:val="0"/>
            <w:vAlign w:val="center"/>
          </w:tcPr>
          <w:p w14:paraId="2F972F0C">
            <w:pPr>
              <w:keepNext w:val="0"/>
              <w:keepLines w:val="0"/>
              <w:pageBreakBefore w:val="0"/>
              <w:widowControl w:val="0"/>
              <w:kinsoku/>
              <w:wordWrap/>
              <w:overflowPunct/>
              <w:topLinePunct w:val="0"/>
              <w:autoSpaceDE/>
              <w:autoSpaceDN/>
              <w:bidi w:val="0"/>
              <w:adjustRightInd/>
              <w:snapToGrid/>
              <w:spacing w:line="520" w:lineRule="exact"/>
              <w:ind w:firstLine="200" w:firstLineChars="100"/>
              <w:jc w:val="both"/>
              <w:textAlignment w:val="auto"/>
              <w:rPr>
                <w:rFonts w:hint="default" w:ascii="宋体" w:hAnsi="宋体" w:eastAsia="宋体" w:cs="宋体"/>
                <w:sz w:val="20"/>
                <w:szCs w:val="20"/>
                <w:highlight w:val="none"/>
                <w:u w:val="none" w:color="auto"/>
                <w:lang w:val="en-US"/>
              </w:rPr>
            </w:pPr>
            <w:r>
              <w:rPr>
                <w:rFonts w:hint="eastAsia" w:hAnsi="宋体" w:eastAsia="宋体" w:cs="宋体"/>
                <w:sz w:val="20"/>
                <w:szCs w:val="20"/>
                <w:highlight w:val="none"/>
                <w:u w:val="none" w:color="auto"/>
                <w:lang w:val="en-US" w:eastAsia="zh-CN"/>
              </w:rPr>
              <w:t>50</w:t>
            </w:r>
          </w:p>
        </w:tc>
        <w:tc>
          <w:tcPr>
            <w:tcW w:w="6345" w:type="dxa"/>
            <w:noWrap w:val="0"/>
            <w:vAlign w:val="top"/>
          </w:tcPr>
          <w:p w14:paraId="21DDBABE">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0"/>
                <w:sz w:val="20"/>
                <w:szCs w:val="20"/>
                <w:highlight w:val="none"/>
                <w:u w:val="none" w:color="auto"/>
                <w:lang w:val="en-US" w:eastAsia="zh-CN" w:bidi="ar"/>
              </w:rPr>
            </w:pPr>
            <w:r>
              <w:rPr>
                <w:rFonts w:hint="eastAsia" w:ascii="宋体" w:hAnsi="宋体" w:eastAsia="宋体" w:cs="宋体"/>
                <w:kern w:val="0"/>
                <w:sz w:val="20"/>
                <w:szCs w:val="20"/>
                <w:highlight w:val="none"/>
                <w:u w:val="none" w:color="auto"/>
                <w:lang w:val="en-US" w:eastAsia="zh-CN" w:bidi="ar"/>
              </w:rPr>
              <w:t>时间：2025年12月23日11：00</w:t>
            </w:r>
          </w:p>
          <w:p w14:paraId="697CCDEC">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kern w:val="0"/>
                <w:sz w:val="20"/>
                <w:szCs w:val="20"/>
                <w:highlight w:val="none"/>
                <w:u w:val="none" w:color="auto"/>
                <w:lang w:val="en-US" w:eastAsia="zh-CN" w:bidi="ar"/>
              </w:rPr>
            </w:pPr>
            <w:r>
              <w:rPr>
                <w:rFonts w:hint="eastAsia" w:ascii="宋体" w:hAnsi="宋体" w:eastAsia="宋体" w:cs="宋体"/>
                <w:kern w:val="0"/>
                <w:sz w:val="20"/>
                <w:szCs w:val="20"/>
                <w:highlight w:val="none"/>
                <w:u w:val="none" w:color="auto"/>
                <w:lang w:val="en-US" w:eastAsia="zh-CN" w:bidi="ar"/>
              </w:rPr>
              <w:t>地点：江油市青莲镇漫波雅院酒店采购人规定的厨房内</w:t>
            </w:r>
          </w:p>
          <w:p w14:paraId="7995D93F">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kern w:val="0"/>
                <w:sz w:val="20"/>
                <w:szCs w:val="20"/>
                <w:highlight w:val="none"/>
                <w:u w:val="none" w:color="auto"/>
                <w:lang w:val="en-US" w:eastAsia="zh-CN" w:bidi="ar"/>
              </w:rPr>
            </w:pPr>
            <w:r>
              <w:rPr>
                <w:rFonts w:hint="eastAsia" w:ascii="宋体" w:hAnsi="宋体" w:eastAsia="宋体" w:cs="宋体"/>
                <w:kern w:val="0"/>
                <w:sz w:val="20"/>
                <w:szCs w:val="20"/>
                <w:highlight w:val="none"/>
                <w:u w:val="none" w:color="auto"/>
                <w:lang w:val="en-US" w:eastAsia="zh-CN" w:bidi="ar"/>
              </w:rPr>
              <w:t>要求：在规定1个小时的时间内完成采购指定的三样菜品“回锅肉”“蒜泥白肉”“土豆丝”（根据采购人当日指定菜品为准，食材统一由采购人准备）</w:t>
            </w:r>
          </w:p>
          <w:p w14:paraId="58217EDD">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kern w:val="0"/>
                <w:sz w:val="20"/>
                <w:szCs w:val="20"/>
                <w:highlight w:val="none"/>
                <w:u w:val="none" w:color="auto"/>
                <w:lang w:val="en-US" w:eastAsia="zh-CN" w:bidi="ar"/>
              </w:rPr>
            </w:pPr>
            <w:r>
              <w:rPr>
                <w:rFonts w:hint="eastAsia" w:ascii="宋体" w:hAnsi="宋体" w:eastAsia="宋体" w:cs="宋体"/>
                <w:kern w:val="0"/>
                <w:sz w:val="20"/>
                <w:szCs w:val="20"/>
                <w:highlight w:val="none"/>
                <w:u w:val="none" w:color="auto"/>
                <w:lang w:val="en-US" w:eastAsia="zh-CN" w:bidi="ar"/>
              </w:rPr>
              <w:t>评分标准：评审小组依次从“色、香、味”等方面对投标人制作的菜品进行评定，并依次打分，最高50分，评审根据自身口味进行评分。</w:t>
            </w:r>
          </w:p>
        </w:tc>
        <w:tc>
          <w:tcPr>
            <w:tcW w:w="523" w:type="dxa"/>
            <w:noWrap w:val="0"/>
            <w:vAlign w:val="top"/>
          </w:tcPr>
          <w:p w14:paraId="447350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0"/>
                <w:sz w:val="20"/>
                <w:szCs w:val="20"/>
                <w:highlight w:val="none"/>
                <w:u w:val="none" w:color="auto"/>
                <w:lang w:val="en-US" w:eastAsia="zh-Hans" w:bidi="ar"/>
              </w:rPr>
            </w:pPr>
          </w:p>
        </w:tc>
        <w:tc>
          <w:tcPr>
            <w:tcW w:w="1166" w:type="dxa"/>
            <w:gridSpan w:val="2"/>
            <w:noWrap w:val="0"/>
            <w:vAlign w:val="top"/>
          </w:tcPr>
          <w:p w14:paraId="3BB7E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4BA69E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1F56E5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75A1C3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技术类</w:t>
            </w:r>
          </w:p>
          <w:p w14:paraId="33C4FD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评审因素</w:t>
            </w:r>
          </w:p>
        </w:tc>
      </w:tr>
      <w:tr w14:paraId="5A4F6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0" w:hRule="atLeast"/>
          <w:jc w:val="center"/>
        </w:trPr>
        <w:tc>
          <w:tcPr>
            <w:tcW w:w="1523" w:type="dxa"/>
            <w:noWrap w:val="0"/>
            <w:vAlign w:val="top"/>
          </w:tcPr>
          <w:p w14:paraId="7A6B08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p w14:paraId="130C5D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履约能力</w:t>
            </w:r>
            <w:r>
              <w:rPr>
                <w:rFonts w:hint="eastAsia" w:hAnsi="宋体" w:eastAsia="宋体" w:cs="宋体"/>
                <w:sz w:val="20"/>
                <w:szCs w:val="20"/>
                <w:highlight w:val="none"/>
                <w:u w:val="none" w:color="auto"/>
                <w:lang w:val="en-US" w:eastAsia="zh-CN"/>
              </w:rPr>
              <w:t>20%</w:t>
            </w:r>
          </w:p>
        </w:tc>
        <w:tc>
          <w:tcPr>
            <w:tcW w:w="510" w:type="dxa"/>
            <w:noWrap w:val="0"/>
            <w:vAlign w:val="top"/>
          </w:tcPr>
          <w:p w14:paraId="73AA43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hAnsi="宋体" w:eastAsia="宋体" w:cs="宋体"/>
                <w:sz w:val="20"/>
                <w:szCs w:val="20"/>
                <w:highlight w:val="none"/>
                <w:u w:val="none" w:color="auto"/>
              </w:rPr>
            </w:pPr>
          </w:p>
          <w:p w14:paraId="74B1F7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0"/>
                <w:szCs w:val="20"/>
                <w:highlight w:val="none"/>
                <w:u w:val="none" w:color="auto"/>
                <w:lang w:val="en-US" w:eastAsia="zh-CN"/>
              </w:rPr>
            </w:pPr>
            <w:r>
              <w:rPr>
                <w:rFonts w:hint="eastAsia" w:hAnsi="宋体" w:eastAsia="宋体" w:cs="宋体"/>
                <w:sz w:val="20"/>
                <w:szCs w:val="20"/>
                <w:highlight w:val="none"/>
                <w:u w:val="none" w:color="auto"/>
                <w:lang w:val="en-US" w:eastAsia="zh-CN"/>
              </w:rPr>
              <w:t>20</w:t>
            </w:r>
          </w:p>
        </w:tc>
        <w:tc>
          <w:tcPr>
            <w:tcW w:w="6345" w:type="dxa"/>
            <w:noWrap w:val="0"/>
            <w:vAlign w:val="top"/>
          </w:tcPr>
          <w:p w14:paraId="3A1478B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宋体" w:hAnsi="宋体" w:eastAsia="宋体" w:cs="宋体"/>
                <w:sz w:val="20"/>
                <w:szCs w:val="20"/>
                <w:highlight w:val="none"/>
                <w:u w:val="none" w:color="auto"/>
                <w:lang w:val="en-US" w:eastAsia="zh-CN"/>
              </w:rPr>
            </w:pPr>
            <w:r>
              <w:rPr>
                <w:rFonts w:hint="eastAsia" w:ascii="宋体" w:hAnsi="宋体" w:eastAsia="宋体" w:cs="宋体"/>
                <w:sz w:val="20"/>
                <w:szCs w:val="20"/>
                <w:highlight w:val="none"/>
                <w:u w:val="none" w:color="auto"/>
                <w:lang w:val="en-US" w:eastAsia="zh-CN"/>
              </w:rPr>
              <w:t>每提供1个业绩证明得 4 分，该项满分 20 分。</w:t>
            </w:r>
            <w:r>
              <w:rPr>
                <w:rFonts w:hint="eastAsia" w:ascii="宋体" w:hAnsi="宋体" w:eastAsia="宋体" w:cs="宋体"/>
                <w:sz w:val="20"/>
                <w:szCs w:val="20"/>
                <w:highlight w:val="none"/>
                <w:u w:val="none" w:color="auto"/>
              </w:rPr>
              <w:t>履约能力</w:t>
            </w:r>
            <w:r>
              <w:rPr>
                <w:rFonts w:hint="eastAsia" w:ascii="宋体" w:hAnsi="宋体" w:eastAsia="宋体" w:cs="宋体"/>
                <w:sz w:val="20"/>
                <w:szCs w:val="20"/>
                <w:highlight w:val="none"/>
                <w:u w:val="none" w:color="auto"/>
                <w:lang w:val="en-US" w:eastAsia="zh-CN"/>
              </w:rPr>
              <w:t xml:space="preserve">证明需提供中标通知书或合同复印件 。 </w:t>
            </w:r>
          </w:p>
        </w:tc>
        <w:tc>
          <w:tcPr>
            <w:tcW w:w="525" w:type="dxa"/>
            <w:gridSpan w:val="2"/>
            <w:noWrap w:val="0"/>
            <w:vAlign w:val="top"/>
          </w:tcPr>
          <w:p w14:paraId="7BB3E1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p>
        </w:tc>
        <w:tc>
          <w:tcPr>
            <w:tcW w:w="1164" w:type="dxa"/>
            <w:noWrap w:val="0"/>
            <w:vAlign w:val="top"/>
          </w:tcPr>
          <w:p w14:paraId="782F25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共同类</w:t>
            </w:r>
          </w:p>
          <w:p w14:paraId="26815A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0"/>
                <w:szCs w:val="20"/>
                <w:highlight w:val="none"/>
                <w:u w:val="none" w:color="auto"/>
              </w:rPr>
            </w:pPr>
            <w:r>
              <w:rPr>
                <w:rFonts w:hint="eastAsia" w:ascii="宋体" w:hAnsi="宋体" w:eastAsia="宋体" w:cs="宋体"/>
                <w:sz w:val="20"/>
                <w:szCs w:val="20"/>
                <w:highlight w:val="none"/>
                <w:u w:val="none" w:color="auto"/>
              </w:rPr>
              <w:t>评审因素</w:t>
            </w:r>
          </w:p>
        </w:tc>
      </w:tr>
    </w:tbl>
    <w:p w14:paraId="4052A695">
      <w:pPr>
        <w:numPr>
          <w:ilvl w:val="0"/>
          <w:numId w:val="0"/>
        </w:numPr>
        <w:ind w:leftChars="0" w:right="0" w:rightChars="0"/>
        <w:rPr>
          <w:rFonts w:hint="default"/>
          <w:lang w:val="en-US" w:eastAsia="zh-CN"/>
        </w:rPr>
      </w:pPr>
    </w:p>
    <w:p w14:paraId="29A30B68">
      <w:pPr>
        <w:keepNext w:val="0"/>
        <w:keepLines w:val="0"/>
        <w:widowControl/>
        <w:suppressLineNumbers w:val="0"/>
        <w:ind w:firstLine="442" w:firstLineChars="200"/>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3.汇总、排序</w:t>
      </w:r>
    </w:p>
    <w:p w14:paraId="1B7443E3">
      <w:pPr>
        <w:keepNext w:val="0"/>
        <w:keepLines w:val="0"/>
        <w:widowControl/>
        <w:numPr>
          <w:ilvl w:val="0"/>
          <w:numId w:val="0"/>
        </w:numPr>
        <w:suppressLineNumbers w:val="0"/>
        <w:ind w:leftChars="0"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评标结果按报价由低到高顺序排列。</w:t>
      </w:r>
    </w:p>
    <w:p w14:paraId="4E71B4D5">
      <w:pPr>
        <w:keepNext w:val="0"/>
        <w:keepLines w:val="0"/>
        <w:widowControl/>
        <w:suppressLineNumbers w:val="0"/>
        <w:ind w:firstLine="442" w:firstLineChars="200"/>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 xml:space="preserve">4.中标价的确定 </w:t>
      </w:r>
    </w:p>
    <w:p w14:paraId="493D9BAE">
      <w:pPr>
        <w:keepNext w:val="0"/>
        <w:keepLines w:val="0"/>
        <w:widowControl/>
        <w:suppressLineNumbers w:val="0"/>
        <w:ind w:firstLine="440" w:firstLineChars="200"/>
        <w:jc w:val="left"/>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中标价以开标时公开唱标价为准。 </w:t>
      </w:r>
    </w:p>
    <w:p w14:paraId="6598B29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445DFD-817D-48DE-BA7F-E26ABE73AE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A4232C91-7345-401E-BBE6-FF69E237F839}"/>
  </w:font>
  <w:font w:name="仿宋">
    <w:panose1 w:val="02010609060101010101"/>
    <w:charset w:val="86"/>
    <w:family w:val="auto"/>
    <w:pitch w:val="default"/>
    <w:sig w:usb0="800002BF" w:usb1="38CF7CFA" w:usb2="00000016" w:usb3="00000000" w:csb0="00040001" w:csb1="00000000"/>
    <w:embedRegular r:id="rId3" w:fontKey="{CE2DE816-4B11-4876-AAC9-4391127A0DE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29E65C9E"/>
    <w:multiLevelType w:val="singleLevel"/>
    <w:tmpl w:val="29E65C9E"/>
    <w:lvl w:ilvl="0" w:tentative="0">
      <w:start w:val="2"/>
      <w:numFmt w:val="decimal"/>
      <w:suff w:val="nothing"/>
      <w:lvlText w:val="%1、"/>
      <w:lvlJc w:val="left"/>
    </w:lvl>
  </w:abstractNum>
  <w:abstractNum w:abstractNumId="2">
    <w:nsid w:val="3AA80635"/>
    <w:multiLevelType w:val="singleLevel"/>
    <w:tmpl w:val="3AA80635"/>
    <w:lvl w:ilvl="0" w:tentative="0">
      <w:start w:val="2"/>
      <w:numFmt w:val="chineseCounting"/>
      <w:suff w:val="space"/>
      <w:lvlText w:val="第%1章"/>
      <w:lvlJc w:val="left"/>
      <w:rPr>
        <w:rFonts w:hint="eastAsia"/>
      </w:rPr>
    </w:lvl>
  </w:abstractNum>
  <w:abstractNum w:abstractNumId="3">
    <w:nsid w:val="54429B86"/>
    <w:multiLevelType w:val="singleLevel"/>
    <w:tmpl w:val="54429B86"/>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1BA693E"/>
    <w:rsid w:val="02340D05"/>
    <w:rsid w:val="023C7B97"/>
    <w:rsid w:val="039B5D5B"/>
    <w:rsid w:val="052F3AB7"/>
    <w:rsid w:val="058C5D4E"/>
    <w:rsid w:val="06AA22E5"/>
    <w:rsid w:val="0C3C68A9"/>
    <w:rsid w:val="0CA35C8C"/>
    <w:rsid w:val="0D833986"/>
    <w:rsid w:val="11672464"/>
    <w:rsid w:val="12853ED2"/>
    <w:rsid w:val="13003952"/>
    <w:rsid w:val="134768DF"/>
    <w:rsid w:val="14224BF0"/>
    <w:rsid w:val="161B669A"/>
    <w:rsid w:val="176F311A"/>
    <w:rsid w:val="192B21B3"/>
    <w:rsid w:val="19D94CAA"/>
    <w:rsid w:val="19E5114C"/>
    <w:rsid w:val="1A9D38AE"/>
    <w:rsid w:val="1C06183E"/>
    <w:rsid w:val="1CF55E97"/>
    <w:rsid w:val="1D8E246F"/>
    <w:rsid w:val="1ED358C8"/>
    <w:rsid w:val="1F2E11F5"/>
    <w:rsid w:val="241724D8"/>
    <w:rsid w:val="252C4022"/>
    <w:rsid w:val="263113E7"/>
    <w:rsid w:val="2BE21A2F"/>
    <w:rsid w:val="300C3A87"/>
    <w:rsid w:val="32BA630E"/>
    <w:rsid w:val="332D5F33"/>
    <w:rsid w:val="34086058"/>
    <w:rsid w:val="35D808FC"/>
    <w:rsid w:val="360C0D29"/>
    <w:rsid w:val="361719C1"/>
    <w:rsid w:val="37512F06"/>
    <w:rsid w:val="3D320538"/>
    <w:rsid w:val="3EB70DA6"/>
    <w:rsid w:val="3F984A9F"/>
    <w:rsid w:val="41876772"/>
    <w:rsid w:val="42AC04F6"/>
    <w:rsid w:val="438C5624"/>
    <w:rsid w:val="4612499B"/>
    <w:rsid w:val="46F86C0B"/>
    <w:rsid w:val="47044A64"/>
    <w:rsid w:val="499910CF"/>
    <w:rsid w:val="4BFA3450"/>
    <w:rsid w:val="4C6E5277"/>
    <w:rsid w:val="4D3B7F1D"/>
    <w:rsid w:val="4D8E53C8"/>
    <w:rsid w:val="4E847B7E"/>
    <w:rsid w:val="4F59011B"/>
    <w:rsid w:val="50A92088"/>
    <w:rsid w:val="50CA2BBB"/>
    <w:rsid w:val="51117587"/>
    <w:rsid w:val="520A31DD"/>
    <w:rsid w:val="557038BD"/>
    <w:rsid w:val="57752E80"/>
    <w:rsid w:val="57C16B81"/>
    <w:rsid w:val="59E051FD"/>
    <w:rsid w:val="5A5558A8"/>
    <w:rsid w:val="5FC15772"/>
    <w:rsid w:val="5FC15FA1"/>
    <w:rsid w:val="6104037C"/>
    <w:rsid w:val="611C00A7"/>
    <w:rsid w:val="61853D3F"/>
    <w:rsid w:val="637F7835"/>
    <w:rsid w:val="64047E51"/>
    <w:rsid w:val="65391A6E"/>
    <w:rsid w:val="65D57BE0"/>
    <w:rsid w:val="66EE634F"/>
    <w:rsid w:val="6D4E5FC4"/>
    <w:rsid w:val="6D860727"/>
    <w:rsid w:val="6EA37E34"/>
    <w:rsid w:val="71494FDF"/>
    <w:rsid w:val="732E26DE"/>
    <w:rsid w:val="73700A17"/>
    <w:rsid w:val="769B58D2"/>
    <w:rsid w:val="78185787"/>
    <w:rsid w:val="79E87A8A"/>
    <w:rsid w:val="7A1B17A7"/>
    <w:rsid w:val="7B965B1F"/>
    <w:rsid w:val="7C6E599F"/>
    <w:rsid w:val="7CCD05F3"/>
    <w:rsid w:val="7CEB202E"/>
    <w:rsid w:val="7DC878B1"/>
    <w:rsid w:val="7E5912A5"/>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eastAsia" w:ascii="仿宋_GB2312" w:eastAsia="仿宋_GB2312" w:cs="仿宋_GB2312"/>
      <w:color w:val="000000"/>
      <w:sz w:val="24"/>
      <w:szCs w:val="24"/>
      <w:u w:val="none"/>
    </w:rPr>
  </w:style>
  <w:style w:type="character" w:customStyle="1" w:styleId="17">
    <w:name w:val="Subtle Emphasis"/>
    <w:basedOn w:val="9"/>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2167</Words>
  <Characters>2240</Characters>
  <Lines>0</Lines>
  <Paragraphs>0</Paragraphs>
  <TotalTime>0</TotalTime>
  <ScaleCrop>false</ScaleCrop>
  <LinksUpToDate>false</LinksUpToDate>
  <CharactersWithSpaces>2278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2026-04-13T07:03:00Z</cp:lastPrinted>
  <dcterms:modified xsi:type="dcterms:W3CDTF">2026-04-24T06:45:24Z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