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EA8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35F89061">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7D913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11991C1F">
      <w:pPr>
        <w:keepNext w:val="0"/>
        <w:keepLines w:val="0"/>
        <w:pageBreakBefore w:val="0"/>
        <w:widowControl/>
        <w:wordWrap/>
        <w:overflowPunct/>
        <w:topLinePunct w:val="0"/>
        <w:bidi w:val="0"/>
        <w:spacing w:line="52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为江油蜀游酒店管理有限公司旗下星悦轩酒店餐厅及厨房提供翻新、改建服务</w:t>
      </w:r>
      <w:r>
        <w:rPr>
          <w:rFonts w:hint="eastAsia" w:ascii="仿宋" w:hAnsi="仿宋" w:eastAsia="仿宋" w:cs="仿宋"/>
          <w:b w:val="0"/>
          <w:bCs w:val="0"/>
          <w:sz w:val="32"/>
          <w:szCs w:val="32"/>
          <w:u w:val="none" w:color="auto"/>
          <w:lang w:eastAsia="zh-CN"/>
        </w:rPr>
        <w:t>。</w:t>
      </w:r>
    </w:p>
    <w:p w14:paraId="2A5BB74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326A88C">
      <w:pPr>
        <w:pStyle w:val="2"/>
        <w:keepNext w:val="0"/>
        <w:keepLines w:val="0"/>
        <w:pageBreakBefore w:val="0"/>
        <w:numPr>
          <w:numId w:val="0"/>
        </w:numPr>
        <w:kinsoku/>
        <w:wordWrap/>
        <w:overflowPunct/>
        <w:topLinePunct w:val="0"/>
        <w:autoSpaceDE/>
        <w:autoSpaceDN/>
        <w:bidi w:val="0"/>
        <w:adjustRightInd/>
        <w:snapToGrid/>
        <w:spacing w:line="576" w:lineRule="exact"/>
        <w:ind w:right="0" w:rightChars="0" w:firstLine="640" w:firstLineChars="200"/>
        <w:rPr>
          <w:rFonts w:hint="eastAsia" w:ascii="黑体" w:hAnsi="黑体" w:eastAsia="黑体" w:cs="黑体"/>
          <w:b w:val="0"/>
          <w:bCs w:val="0"/>
          <w:sz w:val="32"/>
          <w:szCs w:val="32"/>
          <w:u w:val="none" w:color="auto"/>
          <w:lang w:eastAsia="zh-CN"/>
        </w:rPr>
      </w:pPr>
      <w:r>
        <w:rPr>
          <w:rFonts w:hint="eastAsia" w:ascii="仿宋" w:hAnsi="仿宋" w:eastAsia="仿宋" w:cs="仿宋"/>
          <w:bCs w:val="0"/>
          <w:sz w:val="32"/>
          <w:szCs w:val="32"/>
          <w:lang w:val="en-US" w:eastAsia="zh-CN"/>
        </w:rPr>
        <w:t>1、</w:t>
      </w:r>
      <w:r>
        <w:rPr>
          <w:rFonts w:hint="eastAsia" w:ascii="仿宋" w:hAnsi="仿宋" w:eastAsia="仿宋" w:cs="仿宋"/>
          <w:bCs w:val="0"/>
          <w:sz w:val="32"/>
          <w:szCs w:val="32"/>
          <w:lang w:eastAsia="zh-CN"/>
        </w:rPr>
        <w:t>此次星悦轩酒店餐厅翻新及改建项目最高限价为人民币111758元。（</w:t>
      </w:r>
      <w:r>
        <w:rPr>
          <w:rFonts w:hint="eastAsia" w:ascii="仿宋" w:hAnsi="仿宋" w:eastAsia="仿宋" w:cs="仿宋"/>
          <w:bCs w:val="0"/>
          <w:sz w:val="32"/>
          <w:szCs w:val="32"/>
          <w:lang w:val="en-US" w:eastAsia="zh-CN"/>
        </w:rPr>
        <w:t>详见招标控制价</w:t>
      </w:r>
      <w:r>
        <w:rPr>
          <w:rFonts w:hint="eastAsia" w:ascii="仿宋" w:hAnsi="仿宋" w:eastAsia="仿宋" w:cs="仿宋"/>
          <w:bCs w:val="0"/>
          <w:sz w:val="32"/>
          <w:szCs w:val="32"/>
          <w:lang w:eastAsia="zh-CN"/>
        </w:rPr>
        <w:t>）</w:t>
      </w:r>
    </w:p>
    <w:p w14:paraId="5DE681F6">
      <w:pPr>
        <w:pStyle w:val="2"/>
        <w:numPr>
          <w:numId w:val="0"/>
        </w:numPr>
        <w:ind w:right="0" w:rightChars="0"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2、此次对星</w:t>
      </w:r>
      <w:r>
        <w:rPr>
          <w:rFonts w:hint="eastAsia" w:ascii="仿宋" w:hAnsi="仿宋" w:eastAsia="仿宋" w:cs="仿宋"/>
          <w:b w:val="0"/>
          <w:bCs w:val="0"/>
          <w:sz w:val="32"/>
          <w:szCs w:val="32"/>
          <w:u w:val="none" w:color="auto"/>
          <w:lang w:val="en-US" w:eastAsia="zh-CN"/>
        </w:rPr>
        <w:t>悦轩酒店餐厅及厨房进</w:t>
      </w:r>
      <w:bookmarkStart w:id="0" w:name="_GoBack"/>
      <w:bookmarkEnd w:id="0"/>
      <w:r>
        <w:rPr>
          <w:rFonts w:hint="eastAsia" w:ascii="仿宋" w:hAnsi="仿宋" w:eastAsia="仿宋" w:cs="仿宋"/>
          <w:b w:val="0"/>
          <w:bCs w:val="0"/>
          <w:sz w:val="32"/>
          <w:szCs w:val="32"/>
          <w:u w:val="none" w:color="auto"/>
          <w:lang w:val="en-US" w:eastAsia="zh-CN"/>
        </w:rPr>
        <w:t>行翻新及改建，包括墙纸、护墙板、钢材、龙骨架、装饰吊顶、防潮木工板、大理石材、防潮木地板、定制成品推拉门、开关插座、电线电缆、水管、五金配件等</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。（明细详见招标控制价）</w:t>
      </w:r>
    </w:p>
    <w:p w14:paraId="2CA806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73A3B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、此报价包含人工费、材料费、运输费、装卸费、清洁费、税金等费用；</w:t>
      </w:r>
    </w:p>
    <w:p w14:paraId="3D7DB97B">
      <w:pPr>
        <w:pStyle w:val="6"/>
        <w:keepNext w:val="0"/>
        <w:keepLines w:val="0"/>
        <w:pageBreakBefore w:val="0"/>
        <w:wordWrap/>
        <w:overflowPunct/>
        <w:topLinePunct w:val="0"/>
        <w:bidi w:val="0"/>
        <w:spacing w:line="520" w:lineRule="exact"/>
        <w:ind w:left="0" w:lef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1D8560FB">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D39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5B483343">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4659FC">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5D02667">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DEE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4F83077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26F451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center"/>
          </w:tcPr>
          <w:p w14:paraId="27A98FEA">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江油蜀游酒店管理有限公司</w:t>
            </w:r>
          </w:p>
        </w:tc>
      </w:tr>
      <w:tr w14:paraId="4944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016F11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58D8C5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center"/>
          </w:tcPr>
          <w:p w14:paraId="0BCECA78">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江油市城区星悦轩酒店</w:t>
            </w:r>
          </w:p>
        </w:tc>
      </w:tr>
      <w:tr w14:paraId="54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5507F9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5873E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center"/>
          </w:tcPr>
          <w:p w14:paraId="3138031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0ED4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4D2E2AF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589FFEE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center"/>
          </w:tcPr>
          <w:p w14:paraId="72B2B22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1E4E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61D9530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58A47BC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center"/>
          </w:tcPr>
          <w:p w14:paraId="108439B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翻新改造服务所涉及的材料</w:t>
            </w:r>
            <w:r>
              <w:rPr>
                <w:rFonts w:hint="eastAsia" w:ascii="宋体" w:hAnsi="宋体" w:eastAsia="宋体" w:cs="宋体"/>
                <w:sz w:val="28"/>
                <w:szCs w:val="28"/>
                <w:u w:val="none" w:color="auto"/>
                <w:lang w:val="zh-CN" w:eastAsia="zh-CN"/>
              </w:rPr>
              <w:t>必须符合国家</w:t>
            </w:r>
            <w:r>
              <w:rPr>
                <w:rFonts w:hint="eastAsia" w:ascii="宋体" w:hAnsi="宋体" w:eastAsia="宋体" w:cs="宋体"/>
                <w:sz w:val="28"/>
                <w:szCs w:val="28"/>
                <w:u w:val="none" w:color="auto"/>
                <w:lang w:val="en-US" w:eastAsia="zh-CN"/>
              </w:rPr>
              <w:t>或</w:t>
            </w:r>
          </w:p>
          <w:p w14:paraId="0746E75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行业</w:t>
            </w:r>
            <w:r>
              <w:rPr>
                <w:rFonts w:hint="eastAsia" w:ascii="宋体" w:hAnsi="宋体" w:eastAsia="宋体" w:cs="宋体"/>
                <w:sz w:val="28"/>
                <w:szCs w:val="28"/>
                <w:u w:val="none" w:color="auto"/>
                <w:lang w:val="zh-CN" w:eastAsia="zh-CN"/>
              </w:rPr>
              <w:t>标准规范</w:t>
            </w:r>
          </w:p>
        </w:tc>
      </w:tr>
      <w:tr w14:paraId="4C15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3D7DEAA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3A33916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center"/>
          </w:tcPr>
          <w:p w14:paraId="455B6A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r w14:paraId="02F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vAlign w:val="center"/>
          </w:tcPr>
          <w:p w14:paraId="5B97545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751" w:type="dxa"/>
            <w:vAlign w:val="center"/>
          </w:tcPr>
          <w:p w14:paraId="5E32788E">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w:t>
            </w:r>
          </w:p>
        </w:tc>
        <w:tc>
          <w:tcPr>
            <w:tcW w:w="5807" w:type="dxa"/>
            <w:vAlign w:val="center"/>
          </w:tcPr>
          <w:p w14:paraId="1643D43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hAnsi="宋体" w:cs="宋体"/>
                <w:sz w:val="28"/>
                <w:szCs w:val="28"/>
                <w:lang w:val="en-US" w:eastAsia="zh-CN"/>
              </w:rPr>
            </w:pPr>
            <w:r>
              <w:rPr>
                <w:rFonts w:hint="eastAsia" w:ascii="宋体" w:hAnsi="宋体" w:eastAsia="宋体" w:cs="宋体"/>
                <w:sz w:val="28"/>
                <w:szCs w:val="28"/>
                <w:u w:val="none" w:color="auto"/>
                <w:lang w:val="en-US" w:eastAsia="zh-CN"/>
              </w:rPr>
              <w:t>中标金额为合同暂定费用，仅用于项目进度款支付，工程最终费用以第三方机构出具的审计报告中审定金额乘以投标下浮率为准</w:t>
            </w:r>
          </w:p>
        </w:tc>
      </w:tr>
    </w:tbl>
    <w:p w14:paraId="160726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26E0F-D9F7-40A1-AFD6-F7F610BC7E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5757FE31-6D62-4844-8D3B-AE194CBF052B}"/>
  </w:font>
  <w:font w:name="仿宋">
    <w:panose1 w:val="02010609060101010101"/>
    <w:charset w:val="86"/>
    <w:family w:val="auto"/>
    <w:pitch w:val="default"/>
    <w:sig w:usb0="800002BF" w:usb1="38CF7CFA" w:usb2="00000016" w:usb3="00000000" w:csb0="00040001" w:csb1="00000000"/>
    <w:embedRegular r:id="rId3" w:fontKey="{4555CC6C-5C9D-4D9B-A47E-C3A7035CE3F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40D05"/>
    <w:rsid w:val="023C7B97"/>
    <w:rsid w:val="039B5D5B"/>
    <w:rsid w:val="052F3AB7"/>
    <w:rsid w:val="058C5D4E"/>
    <w:rsid w:val="06AA22E5"/>
    <w:rsid w:val="0C3C68A9"/>
    <w:rsid w:val="0CA35C8C"/>
    <w:rsid w:val="11672464"/>
    <w:rsid w:val="12853ED2"/>
    <w:rsid w:val="13003952"/>
    <w:rsid w:val="134768DF"/>
    <w:rsid w:val="14224BF0"/>
    <w:rsid w:val="161B669A"/>
    <w:rsid w:val="176F311A"/>
    <w:rsid w:val="192B21B3"/>
    <w:rsid w:val="19D94CAA"/>
    <w:rsid w:val="19E5114C"/>
    <w:rsid w:val="1A9D38AE"/>
    <w:rsid w:val="1CF55E97"/>
    <w:rsid w:val="1F2E11F5"/>
    <w:rsid w:val="241724D8"/>
    <w:rsid w:val="263113E7"/>
    <w:rsid w:val="2BE21A2F"/>
    <w:rsid w:val="300C3A87"/>
    <w:rsid w:val="32BA630E"/>
    <w:rsid w:val="332D5F33"/>
    <w:rsid w:val="34086058"/>
    <w:rsid w:val="35D808FC"/>
    <w:rsid w:val="360C0D29"/>
    <w:rsid w:val="361719C1"/>
    <w:rsid w:val="37512F06"/>
    <w:rsid w:val="3D320538"/>
    <w:rsid w:val="3EB70DA6"/>
    <w:rsid w:val="41876772"/>
    <w:rsid w:val="42AC04F6"/>
    <w:rsid w:val="47044A64"/>
    <w:rsid w:val="499910CF"/>
    <w:rsid w:val="4BFA3450"/>
    <w:rsid w:val="4C6E5277"/>
    <w:rsid w:val="4D3B7F1D"/>
    <w:rsid w:val="4E847B7E"/>
    <w:rsid w:val="4F59011B"/>
    <w:rsid w:val="50CA2BBB"/>
    <w:rsid w:val="51117587"/>
    <w:rsid w:val="520A31DD"/>
    <w:rsid w:val="557038BD"/>
    <w:rsid w:val="57752E80"/>
    <w:rsid w:val="57C16B81"/>
    <w:rsid w:val="59E051FD"/>
    <w:rsid w:val="5A5558A8"/>
    <w:rsid w:val="5FC15772"/>
    <w:rsid w:val="5FC15FA1"/>
    <w:rsid w:val="6104037C"/>
    <w:rsid w:val="611C00A7"/>
    <w:rsid w:val="61853D3F"/>
    <w:rsid w:val="637F7835"/>
    <w:rsid w:val="64047E51"/>
    <w:rsid w:val="65391A6E"/>
    <w:rsid w:val="65D57BE0"/>
    <w:rsid w:val="66EE634F"/>
    <w:rsid w:val="6D4E5FC4"/>
    <w:rsid w:val="6D860727"/>
    <w:rsid w:val="71494FDF"/>
    <w:rsid w:val="732E26DE"/>
    <w:rsid w:val="73700A17"/>
    <w:rsid w:val="769B58D2"/>
    <w:rsid w:val="78185787"/>
    <w:rsid w:val="79E87A8A"/>
    <w:rsid w:val="7A1B17A7"/>
    <w:rsid w:val="7B965B1F"/>
    <w:rsid w:val="7C6E599F"/>
    <w:rsid w:val="7CCD05F3"/>
    <w:rsid w:val="7CEB202E"/>
    <w:rsid w:val="7DC878B1"/>
    <w:rsid w:val="7E5912A5"/>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eastAsia" w:ascii="仿宋_GB2312" w:eastAsia="仿宋_GB2312" w:cs="仿宋_GB2312"/>
      <w:color w:val="000000"/>
      <w:sz w:val="24"/>
      <w:szCs w:val="24"/>
      <w:u w:val="none"/>
    </w:rPr>
  </w:style>
  <w:style w:type="character" w:customStyle="1" w:styleId="17">
    <w:name w:val="Subtle Emphasis"/>
    <w:basedOn w:val="9"/>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317</Words>
  <Characters>318</Characters>
  <Lines>0</Lines>
  <Paragraphs>0</Paragraphs>
  <TotalTime>0</TotalTime>
  <ScaleCrop>false</ScaleCrop>
  <LinksUpToDate>false</LinksUpToDate>
  <CharactersWithSpaces>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2025-12-22T01:52:37Z</cp:lastPrinted>
  <dcterms:modified xsi:type="dcterms:W3CDTF">2025-12-22T01:57:55Z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